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017"/>
        <w:gridCol w:w="3021"/>
        <w:gridCol w:w="3021"/>
      </w:tblGrid>
      <w:tr w:rsidR="009C32D5" w14:paraId="6A440C15" w14:textId="77777777" w:rsidTr="009C32D5">
        <w:trPr>
          <w:jc w:val="center"/>
        </w:trPr>
        <w:tc>
          <w:tcPr>
            <w:tcW w:w="3017" w:type="dxa"/>
            <w:tcBorders>
              <w:top w:val="nil"/>
              <w:left w:val="nil"/>
              <w:bottom w:val="nil"/>
              <w:right w:val="nil"/>
            </w:tcBorders>
          </w:tcPr>
          <w:p w14:paraId="029C01E0" w14:textId="77777777" w:rsidR="00D563D5" w:rsidRDefault="00D563D5">
            <w:pPr>
              <w:pStyle w:val="Standard"/>
              <w:ind w:right="-567"/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2A060DBF" w14:textId="30CBEF33" w:rsidR="00D563D5" w:rsidRPr="00D563D5" w:rsidRDefault="009C32D5" w:rsidP="009C32D5">
            <w:pPr>
              <w:jc w:val="center"/>
              <w:rPr>
                <w:lang w:eastAsia="zh-CN" w:bidi="hi-IN"/>
              </w:rPr>
            </w:pPr>
            <w:r>
              <w:rPr>
                <w:noProof/>
              </w:rPr>
              <w:drawing>
                <wp:inline distT="0" distB="0" distL="0" distR="0" wp14:anchorId="34D0235F" wp14:editId="14DC22AD">
                  <wp:extent cx="1133475" cy="1195856"/>
                  <wp:effectExtent l="0" t="0" r="0" b="4445"/>
                  <wp:docPr id="78979173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1931" cy="12047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14:paraId="454A3273" w14:textId="335D01F6" w:rsidR="00D563D5" w:rsidRDefault="00D563D5" w:rsidP="009C32D5">
            <w:pPr>
              <w:pStyle w:val="Standard"/>
              <w:ind w:right="-567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509582B" wp14:editId="2ACDC721">
                  <wp:extent cx="904875" cy="1219200"/>
                  <wp:effectExtent l="0" t="0" r="0" b="0"/>
                  <wp:docPr id="16156954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14:paraId="4A7E4C5B" w14:textId="07C4BF1D" w:rsidR="00D563D5" w:rsidRDefault="00D563D5">
            <w:pPr>
              <w:pStyle w:val="Standard"/>
              <w:ind w:right="-567"/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kern w:val="0"/>
              </w:rPr>
              <w:drawing>
                <wp:anchor distT="0" distB="0" distL="0" distR="0" simplePos="0" relativeHeight="251658240" behindDoc="0" locked="0" layoutInCell="1" allowOverlap="1" wp14:anchorId="0B25D452" wp14:editId="7B1C9CE2">
                  <wp:simplePos x="0" y="0"/>
                  <wp:positionH relativeFrom="column">
                    <wp:posOffset>363220</wp:posOffset>
                  </wp:positionH>
                  <wp:positionV relativeFrom="paragraph">
                    <wp:posOffset>190500</wp:posOffset>
                  </wp:positionV>
                  <wp:extent cx="838200" cy="1011555"/>
                  <wp:effectExtent l="0" t="0" r="0" b="0"/>
                  <wp:wrapSquare wrapText="largest"/>
                  <wp:docPr id="846798194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10115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104F3CA2" w14:textId="77777777" w:rsidR="00D563D5" w:rsidRDefault="00D563D5" w:rsidP="00D563D5">
      <w:pPr>
        <w:pStyle w:val="Standard"/>
        <w:ind w:right="-567"/>
        <w:rPr>
          <w:rFonts w:asciiTheme="minorHAnsi" w:hAnsiTheme="minorHAnsi" w:cstheme="minorHAnsi"/>
          <w:sz w:val="28"/>
          <w:szCs w:val="28"/>
        </w:rPr>
      </w:pPr>
    </w:p>
    <w:p w14:paraId="095C7134" w14:textId="77777777" w:rsidR="00D563D5" w:rsidRDefault="00D563D5">
      <w:pPr>
        <w:pStyle w:val="Standard"/>
        <w:ind w:left="-567" w:right="-567"/>
        <w:jc w:val="right"/>
        <w:rPr>
          <w:rFonts w:asciiTheme="minorHAnsi" w:hAnsiTheme="minorHAnsi" w:cstheme="minorHAnsi"/>
          <w:sz w:val="28"/>
          <w:szCs w:val="28"/>
        </w:rPr>
      </w:pPr>
    </w:p>
    <w:p w14:paraId="632EF4F2" w14:textId="5B324D58" w:rsidR="000B5218" w:rsidRPr="00C52EA9" w:rsidRDefault="00357151" w:rsidP="00D563D5">
      <w:pPr>
        <w:pStyle w:val="Standard"/>
        <w:ind w:left="-567" w:right="-567"/>
        <w:jc w:val="right"/>
      </w:pPr>
      <w:r w:rsidRPr="00C52EA9">
        <w:rPr>
          <w:rFonts w:asciiTheme="minorHAnsi" w:hAnsiTheme="minorHAnsi" w:cstheme="minorHAnsi"/>
          <w:sz w:val="28"/>
          <w:szCs w:val="28"/>
        </w:rPr>
        <w:t>Déclaration commune aux trois organisations syndicales élues au CSA départemental</w:t>
      </w:r>
      <w:r w:rsidR="00D563D5">
        <w:rPr>
          <w:rFonts w:asciiTheme="minorHAnsi" w:hAnsiTheme="minorHAnsi" w:cstheme="minorHAnsi"/>
          <w:sz w:val="28"/>
          <w:szCs w:val="28"/>
        </w:rPr>
        <w:t>,</w:t>
      </w:r>
    </w:p>
    <w:p w14:paraId="1B77DB3B" w14:textId="77777777" w:rsidR="000B5218" w:rsidRPr="00C52EA9" w:rsidRDefault="00357151">
      <w:pPr>
        <w:pStyle w:val="Standard"/>
        <w:ind w:left="-567" w:right="-567"/>
        <w:jc w:val="right"/>
      </w:pPr>
      <w:proofErr w:type="gramStart"/>
      <w:r w:rsidRPr="00C52EA9">
        <w:rPr>
          <w:rFonts w:asciiTheme="minorHAnsi" w:hAnsiTheme="minorHAnsi" w:cstheme="minorHAnsi"/>
          <w:sz w:val="28"/>
          <w:szCs w:val="28"/>
        </w:rPr>
        <w:t>le</w:t>
      </w:r>
      <w:proofErr w:type="gramEnd"/>
      <w:r w:rsidRPr="00C52EA9">
        <w:rPr>
          <w:rFonts w:asciiTheme="minorHAnsi" w:hAnsiTheme="minorHAnsi" w:cstheme="minorHAnsi"/>
          <w:sz w:val="28"/>
          <w:szCs w:val="28"/>
        </w:rPr>
        <w:t xml:space="preserve"> 20 juin 2023</w:t>
      </w:r>
    </w:p>
    <w:p w14:paraId="60222ED0" w14:textId="77777777" w:rsidR="000B5218" w:rsidRPr="00C52EA9" w:rsidRDefault="000B5218">
      <w:pPr>
        <w:pStyle w:val="Standard"/>
        <w:ind w:left="-567" w:right="-567"/>
        <w:jc w:val="right"/>
        <w:rPr>
          <w:rFonts w:asciiTheme="minorHAnsi" w:hAnsiTheme="minorHAnsi" w:cstheme="minorHAnsi"/>
          <w:sz w:val="28"/>
          <w:szCs w:val="28"/>
        </w:rPr>
      </w:pPr>
    </w:p>
    <w:p w14:paraId="1A6ACD3D" w14:textId="77777777" w:rsidR="000B5218" w:rsidRPr="00C52EA9" w:rsidRDefault="00357151">
      <w:pPr>
        <w:pStyle w:val="Standard"/>
        <w:ind w:left="-567" w:right="-567"/>
        <w:jc w:val="both"/>
      </w:pPr>
      <w:r w:rsidRPr="00C52EA9">
        <w:rPr>
          <w:rFonts w:asciiTheme="minorHAnsi" w:hAnsiTheme="minorHAnsi" w:cstheme="minorHAnsi"/>
          <w:sz w:val="28"/>
          <w:szCs w:val="28"/>
        </w:rPr>
        <w:t>Monsieur le DASEN,</w:t>
      </w:r>
    </w:p>
    <w:p w14:paraId="0E505150" w14:textId="77777777" w:rsidR="000B5218" w:rsidRPr="00C52EA9" w:rsidRDefault="000B5218">
      <w:pPr>
        <w:pStyle w:val="Standard"/>
        <w:ind w:left="-567" w:right="-567"/>
        <w:jc w:val="both"/>
        <w:rPr>
          <w:rFonts w:asciiTheme="minorHAnsi" w:hAnsiTheme="minorHAnsi" w:cstheme="minorHAnsi"/>
          <w:sz w:val="28"/>
          <w:szCs w:val="28"/>
        </w:rPr>
      </w:pPr>
    </w:p>
    <w:p w14:paraId="3A4C2DB9" w14:textId="32446A79" w:rsidR="000B5218" w:rsidRPr="00C52EA9" w:rsidRDefault="00357151">
      <w:pPr>
        <w:pStyle w:val="Standard"/>
        <w:ind w:left="-567" w:right="-567"/>
        <w:jc w:val="both"/>
        <w:rPr>
          <w:rFonts w:asciiTheme="minorHAnsi" w:hAnsiTheme="minorHAnsi" w:cstheme="minorHAnsi"/>
          <w:sz w:val="28"/>
          <w:szCs w:val="28"/>
        </w:rPr>
      </w:pPr>
      <w:r w:rsidRPr="00C52EA9">
        <w:rPr>
          <w:rFonts w:asciiTheme="minorHAnsi" w:hAnsiTheme="minorHAnsi" w:cstheme="minorHAnsi"/>
          <w:sz w:val="28"/>
          <w:szCs w:val="28"/>
        </w:rPr>
        <w:t xml:space="preserve">En préambule </w:t>
      </w:r>
      <w:r w:rsidR="0063580D" w:rsidRPr="00C52EA9">
        <w:rPr>
          <w:rFonts w:asciiTheme="minorHAnsi" w:hAnsiTheme="minorHAnsi" w:cstheme="minorHAnsi"/>
          <w:sz w:val="28"/>
          <w:szCs w:val="28"/>
        </w:rPr>
        <w:t xml:space="preserve">aux </w:t>
      </w:r>
      <w:r w:rsidRPr="00C52EA9">
        <w:rPr>
          <w:rFonts w:asciiTheme="minorHAnsi" w:hAnsiTheme="minorHAnsi" w:cstheme="minorHAnsi"/>
          <w:sz w:val="28"/>
          <w:szCs w:val="28"/>
        </w:rPr>
        <w:t xml:space="preserve">déclarations propres à chacune de nos organisations syndicales, nous souhaitons attirer votre attention sur des questions relatives au dialogue social. </w:t>
      </w:r>
    </w:p>
    <w:p w14:paraId="3CEC07BC" w14:textId="77777777" w:rsidR="00C52EA9" w:rsidRPr="00C52EA9" w:rsidRDefault="00C52EA9" w:rsidP="00C52EA9">
      <w:pPr>
        <w:pStyle w:val="Standard"/>
        <w:ind w:right="-567"/>
        <w:jc w:val="both"/>
        <w:rPr>
          <w:rFonts w:asciiTheme="minorHAnsi" w:hAnsiTheme="minorHAnsi" w:cstheme="minorHAnsi"/>
          <w:sz w:val="28"/>
          <w:szCs w:val="28"/>
        </w:rPr>
      </w:pPr>
    </w:p>
    <w:p w14:paraId="14C5F89D" w14:textId="12F7FE15" w:rsidR="000B5218" w:rsidRPr="00C52EA9" w:rsidRDefault="00357151">
      <w:pPr>
        <w:pStyle w:val="Standard"/>
        <w:ind w:left="-567" w:right="-567"/>
        <w:jc w:val="both"/>
        <w:rPr>
          <w:rFonts w:asciiTheme="minorHAnsi" w:hAnsiTheme="minorHAnsi" w:cstheme="minorHAnsi"/>
          <w:sz w:val="28"/>
          <w:szCs w:val="28"/>
        </w:rPr>
      </w:pPr>
      <w:r w:rsidRPr="00C52EA9">
        <w:rPr>
          <w:rFonts w:ascii="Calibri" w:hAnsi="Calibri" w:cstheme="minorHAnsi"/>
          <w:sz w:val="28"/>
          <w:szCs w:val="28"/>
        </w:rPr>
        <w:t>Cette année</w:t>
      </w:r>
      <w:r w:rsidR="0063580D" w:rsidRPr="00C52EA9">
        <w:rPr>
          <w:rFonts w:ascii="Calibri" w:hAnsi="Calibri" w:cstheme="minorHAnsi"/>
          <w:sz w:val="28"/>
          <w:szCs w:val="28"/>
        </w:rPr>
        <w:t xml:space="preserve"> encore</w:t>
      </w:r>
      <w:r w:rsidRPr="00C52EA9">
        <w:rPr>
          <w:rFonts w:ascii="Calibri" w:hAnsi="Calibri" w:cstheme="minorHAnsi"/>
          <w:sz w:val="28"/>
          <w:szCs w:val="28"/>
        </w:rPr>
        <w:t xml:space="preserve">, nos représentants syndicaux se sont </w:t>
      </w:r>
      <w:r w:rsidR="0063580D" w:rsidRPr="00C52EA9">
        <w:rPr>
          <w:rFonts w:ascii="Calibri" w:hAnsi="Calibri" w:cstheme="minorHAnsi"/>
          <w:sz w:val="28"/>
          <w:szCs w:val="28"/>
        </w:rPr>
        <w:t xml:space="preserve">sentis souvent </w:t>
      </w:r>
      <w:r w:rsidRPr="00C52EA9">
        <w:rPr>
          <w:rFonts w:ascii="Calibri" w:hAnsi="Calibri" w:cstheme="minorHAnsi"/>
          <w:sz w:val="28"/>
          <w:szCs w:val="28"/>
        </w:rPr>
        <w:t>relégués au rang de simples con</w:t>
      </w:r>
      <w:r w:rsidRPr="00C52EA9">
        <w:rPr>
          <w:rFonts w:ascii="Calibri" w:hAnsi="Calibri" w:cstheme="minorHAnsi"/>
          <w:sz w:val="28"/>
          <w:szCs w:val="28"/>
        </w:rPr>
        <w:t>sultants</w:t>
      </w:r>
      <w:r w:rsidR="0063580D" w:rsidRPr="00C52EA9">
        <w:rPr>
          <w:rFonts w:ascii="Calibri" w:hAnsi="Calibri" w:cstheme="minorHAnsi"/>
          <w:sz w:val="28"/>
          <w:szCs w:val="28"/>
        </w:rPr>
        <w:t>, y compris au niveau départemental</w:t>
      </w:r>
      <w:r w:rsidRPr="00C52EA9">
        <w:rPr>
          <w:rFonts w:ascii="Calibri" w:hAnsi="Calibri" w:cstheme="minorHAnsi"/>
          <w:sz w:val="28"/>
          <w:szCs w:val="28"/>
        </w:rPr>
        <w:t xml:space="preserve">. A deux reprises, vous avez choisi d’informer les enseignants par des circulaires ou notes, </w:t>
      </w:r>
      <w:r w:rsidR="0063580D" w:rsidRPr="00C52EA9">
        <w:rPr>
          <w:rFonts w:ascii="Calibri" w:hAnsi="Calibri" w:cstheme="minorHAnsi"/>
          <w:sz w:val="28"/>
          <w:szCs w:val="28"/>
        </w:rPr>
        <w:t xml:space="preserve">sans discussions </w:t>
      </w:r>
      <w:proofErr w:type="gramStart"/>
      <w:r w:rsidR="0063580D" w:rsidRPr="00C52EA9">
        <w:rPr>
          <w:rFonts w:ascii="Calibri" w:hAnsi="Calibri" w:cstheme="minorHAnsi"/>
          <w:sz w:val="28"/>
          <w:szCs w:val="28"/>
        </w:rPr>
        <w:t>préalable</w:t>
      </w:r>
      <w:r w:rsidR="00C52EA9">
        <w:rPr>
          <w:rFonts w:ascii="Calibri" w:hAnsi="Calibri" w:cstheme="minorHAnsi"/>
          <w:sz w:val="28"/>
          <w:szCs w:val="28"/>
        </w:rPr>
        <w:t>s</w:t>
      </w:r>
      <w:r w:rsidR="0063580D" w:rsidRPr="00C52EA9">
        <w:rPr>
          <w:rFonts w:ascii="Calibri" w:hAnsi="Calibri" w:cstheme="minorHAnsi"/>
          <w:sz w:val="28"/>
          <w:szCs w:val="28"/>
        </w:rPr>
        <w:t xml:space="preserve"> </w:t>
      </w:r>
      <w:r w:rsidRPr="00C52EA9">
        <w:rPr>
          <w:rFonts w:ascii="Calibri" w:hAnsi="Calibri" w:cstheme="minorHAnsi"/>
          <w:sz w:val="28"/>
          <w:szCs w:val="28"/>
        </w:rPr>
        <w:t xml:space="preserve"> avec</w:t>
      </w:r>
      <w:proofErr w:type="gramEnd"/>
      <w:r w:rsidR="00C52EA9">
        <w:rPr>
          <w:rFonts w:ascii="Calibri" w:hAnsi="Calibri" w:cstheme="minorHAnsi"/>
          <w:sz w:val="28"/>
          <w:szCs w:val="28"/>
        </w:rPr>
        <w:t xml:space="preserve"> </w:t>
      </w:r>
      <w:r w:rsidRPr="00C52EA9">
        <w:rPr>
          <w:rFonts w:ascii="Calibri" w:hAnsi="Calibri" w:cstheme="minorHAnsi"/>
          <w:sz w:val="28"/>
          <w:szCs w:val="28"/>
        </w:rPr>
        <w:t>les organisations syndicales représentatives : la circulaire sur les opérations du mou</w:t>
      </w:r>
      <w:r w:rsidRPr="00C52EA9">
        <w:rPr>
          <w:rFonts w:ascii="Calibri" w:hAnsi="Calibri" w:cstheme="minorHAnsi"/>
          <w:sz w:val="28"/>
          <w:szCs w:val="28"/>
        </w:rPr>
        <w:t xml:space="preserve">vement et la présentation d’ </w:t>
      </w:r>
      <w:proofErr w:type="spellStart"/>
      <w:r w:rsidRPr="00C52EA9">
        <w:rPr>
          <w:rFonts w:ascii="Calibri" w:hAnsi="Calibri" w:cstheme="minorHAnsi"/>
          <w:sz w:val="28"/>
          <w:szCs w:val="28"/>
        </w:rPr>
        <w:t>Andjaro</w:t>
      </w:r>
      <w:proofErr w:type="spellEnd"/>
      <w:r w:rsidRPr="00C52EA9">
        <w:rPr>
          <w:rFonts w:ascii="Calibri" w:hAnsi="Calibri" w:cstheme="minorHAnsi"/>
          <w:sz w:val="28"/>
          <w:szCs w:val="28"/>
        </w:rPr>
        <w:t>.</w:t>
      </w:r>
      <w:r w:rsidR="0063580D" w:rsidRPr="00C52EA9">
        <w:rPr>
          <w:rFonts w:ascii="Calibri" w:hAnsi="Calibri" w:cstheme="minorHAnsi"/>
          <w:sz w:val="28"/>
          <w:szCs w:val="28"/>
        </w:rPr>
        <w:t xml:space="preserve"> Nous le déplorons et souhaitons rester force de proposition.</w:t>
      </w:r>
    </w:p>
    <w:p w14:paraId="09DF4B19" w14:textId="77777777" w:rsidR="000B5218" w:rsidRPr="00C52EA9" w:rsidRDefault="000B5218">
      <w:pPr>
        <w:pStyle w:val="Standard"/>
        <w:ind w:left="-567" w:right="-567"/>
        <w:jc w:val="both"/>
      </w:pPr>
    </w:p>
    <w:p w14:paraId="5650AA10" w14:textId="4EB2D9DF" w:rsidR="000B5218" w:rsidRPr="00C52EA9" w:rsidRDefault="00357151">
      <w:pPr>
        <w:pStyle w:val="Standard"/>
        <w:ind w:left="-567" w:right="-567"/>
        <w:jc w:val="both"/>
        <w:rPr>
          <w:rFonts w:asciiTheme="minorHAnsi" w:hAnsiTheme="minorHAnsi" w:cstheme="minorHAnsi"/>
          <w:sz w:val="28"/>
          <w:szCs w:val="28"/>
        </w:rPr>
      </w:pPr>
      <w:r w:rsidRPr="00C52EA9">
        <w:rPr>
          <w:rFonts w:asciiTheme="minorHAnsi" w:hAnsiTheme="minorHAnsi" w:cstheme="minorHAnsi"/>
          <w:sz w:val="28"/>
          <w:szCs w:val="28"/>
        </w:rPr>
        <w:t>Nos demandes de concertation entrent dans le champ de nos actions syndicales</w:t>
      </w:r>
      <w:r w:rsidR="0063580D" w:rsidRPr="00C52EA9">
        <w:rPr>
          <w:rFonts w:asciiTheme="minorHAnsi" w:hAnsiTheme="minorHAnsi" w:cstheme="minorHAnsi"/>
          <w:sz w:val="28"/>
          <w:szCs w:val="28"/>
        </w:rPr>
        <w:t>,</w:t>
      </w:r>
      <w:r w:rsidRPr="00C52EA9">
        <w:rPr>
          <w:rFonts w:asciiTheme="minorHAnsi" w:hAnsiTheme="minorHAnsi" w:cstheme="minorHAnsi"/>
          <w:sz w:val="28"/>
          <w:szCs w:val="28"/>
        </w:rPr>
        <w:t xml:space="preserve"> malgré la loi de transformation de la fonction publique les ayant largement am</w:t>
      </w:r>
      <w:r w:rsidRPr="00C52EA9">
        <w:rPr>
          <w:rFonts w:asciiTheme="minorHAnsi" w:hAnsiTheme="minorHAnsi" w:cstheme="minorHAnsi"/>
          <w:sz w:val="28"/>
          <w:szCs w:val="28"/>
        </w:rPr>
        <w:t xml:space="preserve">oindries. </w:t>
      </w:r>
    </w:p>
    <w:p w14:paraId="6F99198D" w14:textId="77777777" w:rsidR="000B5218" w:rsidRPr="00C52EA9" w:rsidRDefault="00357151">
      <w:pPr>
        <w:pStyle w:val="Standard"/>
        <w:ind w:left="-567" w:right="-567"/>
        <w:jc w:val="both"/>
        <w:rPr>
          <w:rFonts w:asciiTheme="minorHAnsi" w:hAnsiTheme="minorHAnsi" w:cstheme="minorHAnsi"/>
          <w:sz w:val="28"/>
          <w:szCs w:val="28"/>
        </w:rPr>
      </w:pPr>
      <w:r w:rsidRPr="00C52EA9">
        <w:rPr>
          <w:rFonts w:asciiTheme="minorHAnsi" w:hAnsiTheme="minorHAnsi" w:cstheme="minorHAnsi"/>
          <w:sz w:val="28"/>
          <w:szCs w:val="28"/>
        </w:rPr>
        <w:t>La transparence vis-à-vis de nos collègues est la seule à guider nos questions, nos demandes, nos interventions.</w:t>
      </w:r>
    </w:p>
    <w:p w14:paraId="5F762C15" w14:textId="34E71CE0" w:rsidR="000B5218" w:rsidRPr="00C52EA9" w:rsidRDefault="00357151">
      <w:pPr>
        <w:pStyle w:val="Standard"/>
        <w:ind w:left="-567" w:right="-567"/>
        <w:jc w:val="both"/>
        <w:rPr>
          <w:rFonts w:asciiTheme="minorHAnsi" w:hAnsiTheme="minorHAnsi" w:cstheme="minorHAnsi"/>
          <w:sz w:val="28"/>
          <w:szCs w:val="28"/>
        </w:rPr>
      </w:pPr>
      <w:r w:rsidRPr="00C52EA9">
        <w:rPr>
          <w:rFonts w:ascii="Calibri" w:hAnsi="Calibri" w:cstheme="minorHAnsi"/>
          <w:sz w:val="28"/>
          <w:szCs w:val="28"/>
        </w:rPr>
        <w:t xml:space="preserve">Pourtant, nous nous heurtons à des refus </w:t>
      </w:r>
      <w:r w:rsidR="0063580D" w:rsidRPr="00C52EA9">
        <w:rPr>
          <w:rFonts w:ascii="Calibri" w:hAnsi="Calibri" w:cstheme="minorHAnsi"/>
          <w:sz w:val="28"/>
          <w:szCs w:val="28"/>
        </w:rPr>
        <w:t xml:space="preserve">et </w:t>
      </w:r>
      <w:r w:rsidRPr="00C52EA9">
        <w:rPr>
          <w:rFonts w:ascii="Calibri" w:hAnsi="Calibri" w:cstheme="minorHAnsi"/>
          <w:sz w:val="28"/>
          <w:szCs w:val="28"/>
        </w:rPr>
        <w:t xml:space="preserve">des réponses évasives… </w:t>
      </w:r>
      <w:r w:rsidR="0063580D" w:rsidRPr="00C52EA9">
        <w:rPr>
          <w:rFonts w:ascii="Calibri" w:hAnsi="Calibri" w:cstheme="minorHAnsi"/>
          <w:sz w:val="28"/>
          <w:szCs w:val="28"/>
        </w:rPr>
        <w:t>Notre dernière demande ayant essuyé un refus est le</w:t>
      </w:r>
      <w:r w:rsidRPr="00C52EA9">
        <w:rPr>
          <w:rFonts w:ascii="Calibri" w:hAnsi="Calibri" w:cstheme="minorHAnsi"/>
          <w:sz w:val="28"/>
          <w:szCs w:val="28"/>
        </w:rPr>
        <w:t xml:space="preserve"> groupe de tra</w:t>
      </w:r>
      <w:r w:rsidRPr="00C52EA9">
        <w:rPr>
          <w:rFonts w:ascii="Calibri" w:hAnsi="Calibri" w:cstheme="minorHAnsi"/>
          <w:sz w:val="28"/>
          <w:szCs w:val="28"/>
        </w:rPr>
        <w:t>vail sur les postes fractionnés.</w:t>
      </w:r>
    </w:p>
    <w:p w14:paraId="53861731" w14:textId="77777777" w:rsidR="000B5218" w:rsidRPr="00C52EA9" w:rsidRDefault="000B5218">
      <w:pPr>
        <w:pStyle w:val="Standard"/>
        <w:ind w:left="-567" w:right="-567"/>
        <w:jc w:val="both"/>
        <w:rPr>
          <w:rFonts w:asciiTheme="minorHAnsi" w:hAnsiTheme="minorHAnsi" w:cstheme="minorHAnsi"/>
          <w:sz w:val="28"/>
          <w:szCs w:val="28"/>
        </w:rPr>
      </w:pPr>
    </w:p>
    <w:p w14:paraId="5A348C6A" w14:textId="77777777" w:rsidR="000B5218" w:rsidRPr="00C52EA9" w:rsidRDefault="00357151">
      <w:pPr>
        <w:pStyle w:val="Standard"/>
        <w:ind w:left="-567" w:right="-567"/>
        <w:jc w:val="both"/>
        <w:rPr>
          <w:rFonts w:asciiTheme="minorHAnsi" w:hAnsiTheme="minorHAnsi" w:cstheme="minorHAnsi"/>
          <w:sz w:val="28"/>
          <w:szCs w:val="28"/>
        </w:rPr>
      </w:pPr>
      <w:r w:rsidRPr="00C52EA9">
        <w:rPr>
          <w:rFonts w:asciiTheme="minorHAnsi" w:hAnsiTheme="minorHAnsi" w:cstheme="minorHAnsi"/>
          <w:sz w:val="28"/>
          <w:szCs w:val="28"/>
        </w:rPr>
        <w:t>Jamais l’unité syndicale n’a été aussi forte et jamais nous n’avons essuyé autant de refus.</w:t>
      </w:r>
    </w:p>
    <w:p w14:paraId="2CFBA1A4" w14:textId="77777777" w:rsidR="000B5218" w:rsidRPr="00C52EA9" w:rsidRDefault="000B5218">
      <w:pPr>
        <w:pStyle w:val="Standard"/>
        <w:ind w:left="-567" w:right="-567"/>
        <w:jc w:val="both"/>
        <w:rPr>
          <w:rFonts w:asciiTheme="minorHAnsi" w:hAnsiTheme="minorHAnsi" w:cstheme="minorHAnsi"/>
          <w:sz w:val="28"/>
          <w:szCs w:val="28"/>
        </w:rPr>
      </w:pPr>
    </w:p>
    <w:p w14:paraId="4C74CFF8" w14:textId="77777777" w:rsidR="000B5218" w:rsidRPr="00C52EA9" w:rsidRDefault="00357151">
      <w:pPr>
        <w:pStyle w:val="Standard"/>
        <w:ind w:left="-567" w:right="-567"/>
        <w:jc w:val="both"/>
        <w:rPr>
          <w:rFonts w:asciiTheme="minorHAnsi" w:hAnsiTheme="minorHAnsi" w:cstheme="minorHAnsi"/>
          <w:sz w:val="28"/>
          <w:szCs w:val="28"/>
        </w:rPr>
      </w:pPr>
      <w:r w:rsidRPr="00C52EA9">
        <w:rPr>
          <w:rFonts w:asciiTheme="minorHAnsi" w:hAnsiTheme="minorHAnsi" w:cstheme="minorHAnsi"/>
          <w:sz w:val="28"/>
          <w:szCs w:val="28"/>
        </w:rPr>
        <w:t>De plus, depuis peu, Monsieur le DASEN, nous remarquons également votre absence en audience notamment. Certes, le secrétaire géné</w:t>
      </w:r>
      <w:r w:rsidRPr="00C52EA9">
        <w:rPr>
          <w:rFonts w:asciiTheme="minorHAnsi" w:hAnsiTheme="minorHAnsi" w:cstheme="minorHAnsi"/>
          <w:sz w:val="28"/>
          <w:szCs w:val="28"/>
        </w:rPr>
        <w:t>ral peut prendre le relais mais la question de l’École n’est pas uniquement une question ressources humaines.</w:t>
      </w:r>
    </w:p>
    <w:p w14:paraId="7F1B3242" w14:textId="16158B50" w:rsidR="0063580D" w:rsidRPr="00C52EA9" w:rsidRDefault="0063580D">
      <w:pPr>
        <w:pStyle w:val="Standard"/>
        <w:ind w:left="-567" w:right="-567"/>
        <w:jc w:val="both"/>
        <w:rPr>
          <w:rFonts w:asciiTheme="minorHAnsi" w:hAnsiTheme="minorHAnsi" w:cstheme="minorHAnsi"/>
          <w:sz w:val="28"/>
          <w:szCs w:val="28"/>
        </w:rPr>
      </w:pPr>
      <w:r w:rsidRPr="00C52EA9">
        <w:rPr>
          <w:rFonts w:asciiTheme="minorHAnsi" w:hAnsiTheme="minorHAnsi" w:cstheme="minorHAnsi"/>
          <w:sz w:val="28"/>
          <w:szCs w:val="28"/>
        </w:rPr>
        <w:t xml:space="preserve">Nous sommes conscients des contraintes qui sont les vôtres. Sans préjuger d’un manque de considération, nous restons attachés </w:t>
      </w:r>
      <w:r w:rsidR="00A723B4" w:rsidRPr="00C52EA9">
        <w:rPr>
          <w:rFonts w:asciiTheme="minorHAnsi" w:hAnsiTheme="minorHAnsi" w:cstheme="minorHAnsi"/>
          <w:sz w:val="28"/>
          <w:szCs w:val="28"/>
        </w:rPr>
        <w:t>à des relations directes, permettant l’exercice plein du dialogue social.</w:t>
      </w:r>
    </w:p>
    <w:p w14:paraId="1C6E967C" w14:textId="3E1540F5" w:rsidR="000B5218" w:rsidRPr="00C52EA9" w:rsidRDefault="00A723B4">
      <w:pPr>
        <w:pStyle w:val="Standard"/>
        <w:ind w:left="-567" w:right="-567"/>
        <w:jc w:val="both"/>
        <w:rPr>
          <w:rFonts w:asciiTheme="minorHAnsi" w:hAnsiTheme="minorHAnsi" w:cstheme="minorHAnsi"/>
          <w:sz w:val="28"/>
          <w:szCs w:val="28"/>
        </w:rPr>
      </w:pPr>
      <w:r w:rsidRPr="00C52EA9">
        <w:rPr>
          <w:rFonts w:asciiTheme="minorHAnsi" w:hAnsiTheme="minorHAnsi" w:cstheme="minorHAnsi"/>
          <w:sz w:val="28"/>
          <w:szCs w:val="28"/>
        </w:rPr>
        <w:t>Le dialogue social direct avec vous, Monsieur l’Inspecteur d’Académie, est d’autant plus nécessaire dans un climat où le sentiment d’abandon et le malaise dans la profession sont croissants.</w:t>
      </w:r>
    </w:p>
    <w:p w14:paraId="598FD01D" w14:textId="77777777" w:rsidR="000B5218" w:rsidRPr="00C52EA9" w:rsidRDefault="000B5218">
      <w:pPr>
        <w:pStyle w:val="Standard"/>
        <w:ind w:left="-567" w:right="-567"/>
        <w:jc w:val="both"/>
        <w:rPr>
          <w:rFonts w:asciiTheme="minorHAnsi" w:hAnsiTheme="minorHAnsi" w:cstheme="minorHAnsi"/>
          <w:sz w:val="28"/>
          <w:szCs w:val="28"/>
        </w:rPr>
      </w:pPr>
    </w:p>
    <w:p w14:paraId="0BC3DB34" w14:textId="16DD2D08" w:rsidR="000B5218" w:rsidRPr="00C52EA9" w:rsidRDefault="00357151">
      <w:pPr>
        <w:pStyle w:val="Standard"/>
        <w:ind w:left="-567" w:right="-567"/>
        <w:jc w:val="both"/>
        <w:rPr>
          <w:rFonts w:asciiTheme="minorHAnsi" w:hAnsiTheme="minorHAnsi" w:cstheme="minorHAnsi"/>
          <w:sz w:val="28"/>
          <w:szCs w:val="28"/>
        </w:rPr>
      </w:pPr>
      <w:r w:rsidRPr="00C52EA9">
        <w:rPr>
          <w:rFonts w:asciiTheme="minorHAnsi" w:hAnsiTheme="minorHAnsi" w:cstheme="minorHAnsi"/>
          <w:sz w:val="28"/>
          <w:szCs w:val="28"/>
        </w:rPr>
        <w:t xml:space="preserve">Nous </w:t>
      </w:r>
      <w:r w:rsidR="00A723B4" w:rsidRPr="00C52EA9">
        <w:rPr>
          <w:rFonts w:asciiTheme="minorHAnsi" w:hAnsiTheme="minorHAnsi" w:cstheme="minorHAnsi"/>
          <w:sz w:val="28"/>
          <w:szCs w:val="28"/>
        </w:rPr>
        <w:t>espérons que vous comprendrez l’esprit et la volonté</w:t>
      </w:r>
      <w:r w:rsidRPr="00C52EA9">
        <w:rPr>
          <w:rFonts w:asciiTheme="minorHAnsi" w:hAnsiTheme="minorHAnsi" w:cstheme="minorHAnsi"/>
          <w:sz w:val="28"/>
          <w:szCs w:val="28"/>
        </w:rPr>
        <w:t xml:space="preserve"> de notre déclaration commune et </w:t>
      </w:r>
      <w:r w:rsidR="00A723B4" w:rsidRPr="00C52EA9">
        <w:rPr>
          <w:rFonts w:asciiTheme="minorHAnsi" w:hAnsiTheme="minorHAnsi" w:cstheme="minorHAnsi"/>
          <w:sz w:val="28"/>
          <w:szCs w:val="28"/>
        </w:rPr>
        <w:t>souhaitons</w:t>
      </w:r>
      <w:r w:rsidRPr="00C52EA9">
        <w:rPr>
          <w:rFonts w:asciiTheme="minorHAnsi" w:hAnsiTheme="minorHAnsi" w:cstheme="minorHAnsi"/>
          <w:sz w:val="28"/>
          <w:szCs w:val="28"/>
        </w:rPr>
        <w:t xml:space="preserve"> que la future année scolaire soit placée sous le signe d’une </w:t>
      </w:r>
      <w:r w:rsidR="00A723B4" w:rsidRPr="00C52EA9">
        <w:rPr>
          <w:rFonts w:asciiTheme="minorHAnsi" w:hAnsiTheme="minorHAnsi" w:cstheme="minorHAnsi"/>
          <w:sz w:val="28"/>
          <w:szCs w:val="28"/>
        </w:rPr>
        <w:t xml:space="preserve">meilleure </w:t>
      </w:r>
      <w:r w:rsidRPr="00C52EA9">
        <w:rPr>
          <w:rFonts w:asciiTheme="minorHAnsi" w:hAnsiTheme="minorHAnsi" w:cstheme="minorHAnsi"/>
          <w:sz w:val="28"/>
          <w:szCs w:val="28"/>
        </w:rPr>
        <w:t>concertation</w:t>
      </w:r>
      <w:r w:rsidR="00A723B4" w:rsidRPr="00C52EA9">
        <w:rPr>
          <w:rFonts w:asciiTheme="minorHAnsi" w:hAnsiTheme="minorHAnsi" w:cstheme="minorHAnsi"/>
          <w:sz w:val="28"/>
          <w:szCs w:val="28"/>
        </w:rPr>
        <w:t>, au bénéfice des personnels que nous représentons</w:t>
      </w:r>
      <w:r w:rsidRPr="00C52EA9">
        <w:rPr>
          <w:rFonts w:asciiTheme="minorHAnsi" w:hAnsiTheme="minorHAnsi" w:cstheme="minorHAnsi"/>
          <w:sz w:val="28"/>
          <w:szCs w:val="28"/>
        </w:rPr>
        <w:t>.</w:t>
      </w:r>
    </w:p>
    <w:p w14:paraId="73BD04F9" w14:textId="77777777" w:rsidR="000B5218" w:rsidRPr="00C52EA9" w:rsidRDefault="00357151">
      <w:pPr>
        <w:pStyle w:val="Standard"/>
        <w:ind w:left="-567" w:right="-567"/>
        <w:jc w:val="both"/>
      </w:pPr>
      <w:r w:rsidRPr="00C52EA9">
        <w:rPr>
          <w:rFonts w:asciiTheme="minorHAnsi" w:hAnsiTheme="minorHAnsi" w:cstheme="minorHAnsi"/>
          <w:sz w:val="28"/>
          <w:szCs w:val="28"/>
        </w:rPr>
        <w:t>Nous vous remercions de v</w:t>
      </w:r>
      <w:r w:rsidRPr="00C52EA9">
        <w:rPr>
          <w:rFonts w:asciiTheme="minorHAnsi" w:hAnsiTheme="minorHAnsi" w:cstheme="minorHAnsi"/>
          <w:sz w:val="28"/>
          <w:szCs w:val="28"/>
        </w:rPr>
        <w:t>otre écoute.</w:t>
      </w:r>
    </w:p>
    <w:sectPr w:rsidR="000B5218" w:rsidRPr="00C52EA9" w:rsidSect="00D563D5">
      <w:pgSz w:w="11906" w:h="16838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218"/>
    <w:rsid w:val="000B5218"/>
    <w:rsid w:val="0063580D"/>
    <w:rsid w:val="00891E62"/>
    <w:rsid w:val="009C32D5"/>
    <w:rsid w:val="00A723B4"/>
    <w:rsid w:val="00C52EA9"/>
    <w:rsid w:val="00D56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8761E13"/>
  <w15:docId w15:val="{A94D9A4A-B58D-4B50-9151-A05ED5D8D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hgkelc">
    <w:name w:val="hgkelc"/>
    <w:basedOn w:val="Policepardfaut"/>
    <w:qFormat/>
    <w:rsid w:val="003E1ECD"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Standard">
    <w:name w:val="Standard"/>
    <w:qFormat/>
    <w:rsid w:val="006927A0"/>
    <w:pPr>
      <w:textAlignment w:val="baseline"/>
    </w:pPr>
    <w:rPr>
      <w:rFonts w:ascii="Liberation Serif" w:eastAsia="NSimSun" w:hAnsi="Liberation Serif" w:cs="Arial"/>
      <w:sz w:val="24"/>
      <w:szCs w:val="24"/>
      <w:lang w:eastAsia="zh-CN" w:bidi="hi-IN"/>
      <w14:ligatures w14:val="none"/>
    </w:rPr>
  </w:style>
  <w:style w:type="table" w:styleId="Grilledutableau">
    <w:name w:val="Table Grid"/>
    <w:basedOn w:val="TableauNormal"/>
    <w:uiPriority w:val="39"/>
    <w:rsid w:val="00D563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338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dc:description/>
  <cp:lastModifiedBy>Cathy LAFFARGUE</cp:lastModifiedBy>
  <cp:revision>2</cp:revision>
  <dcterms:created xsi:type="dcterms:W3CDTF">2023-06-20T10:07:00Z</dcterms:created>
  <dcterms:modified xsi:type="dcterms:W3CDTF">2023-06-20T10:07:00Z</dcterms:modified>
  <dc:language>fr-FR</dc:language>
</cp:coreProperties>
</file>